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o em bloco"/>
        <w:jc w:val="center"/>
        <w:rPr>
          <w:rStyle w:val="Número de página"/>
          <w:rFonts w:ascii="Arial" w:hAnsi="Arial"/>
          <w:b w:val="1"/>
          <w:bCs w:val="1"/>
          <w:sz w:val="28"/>
          <w:szCs w:val="28"/>
        </w:rPr>
      </w:pPr>
      <w:r>
        <w:rPr>
          <w:rStyle w:val="Número de página"/>
          <w:rFonts w:ascii="Arial" w:hAnsi="Arial"/>
          <w:sz w:val="28"/>
          <w:szCs w:val="28"/>
        </w:rPr>
        <w:drawing>
          <wp:inline distT="0" distB="0" distL="0" distR="0">
            <wp:extent cx="690944" cy="906781"/>
            <wp:effectExtent l="0" t="0" r="0" b="0"/>
            <wp:docPr id="1073741825" name="officeArt object" descr="Bras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g_brasao2.png" descr="Brasã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4" cy="906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exto em bloco"/>
        <w:jc w:val="center"/>
        <w:rPr>
          <w:rStyle w:val="Número de página"/>
          <w:rFonts w:ascii="Arial" w:hAnsi="Arial"/>
          <w:b w:val="1"/>
          <w:bCs w:val="1"/>
          <w:sz w:val="28"/>
          <w:szCs w:val="28"/>
        </w:rPr>
      </w:pP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úmero de página"/>
          <w:rFonts w:ascii="Arial" w:hAnsi="Arial"/>
          <w:b w:val="1"/>
          <w:bCs w:val="1"/>
          <w:sz w:val="28"/>
          <w:szCs w:val="28"/>
          <w:rtl w:val="0"/>
          <w:lang w:val="pt-PT"/>
        </w:rPr>
        <w:t>Universidade Federal do Cear</w:t>
      </w:r>
      <w:r>
        <w:rPr>
          <w:rStyle w:val="Número de página"/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á</w:t>
      </w: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úmero de página"/>
          <w:rFonts w:ascii="Arial" w:hAnsi="Arial"/>
          <w:b w:val="1"/>
          <w:bCs w:val="1"/>
          <w:sz w:val="28"/>
          <w:szCs w:val="28"/>
          <w:rtl w:val="0"/>
          <w:lang w:val="pt-PT"/>
        </w:rPr>
        <w:t>Centro de Humanidades</w:t>
      </w: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úmero de página"/>
          <w:rFonts w:ascii="Arial" w:hAnsi="Arial"/>
          <w:b w:val="1"/>
          <w:bCs w:val="1"/>
          <w:sz w:val="28"/>
          <w:szCs w:val="28"/>
          <w:rtl w:val="0"/>
          <w:lang w:val="pt-PT"/>
        </w:rPr>
        <w:t>Programa de P</w:t>
      </w:r>
      <w:r>
        <w:rPr>
          <w:rStyle w:val="Número de página"/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Style w:val="Número de página"/>
          <w:rFonts w:ascii="Arial" w:hAnsi="Arial"/>
          <w:b w:val="1"/>
          <w:bCs w:val="1"/>
          <w:sz w:val="28"/>
          <w:szCs w:val="28"/>
          <w:rtl w:val="0"/>
          <w:lang w:val="pt-PT"/>
        </w:rPr>
        <w:t>s-Gradua</w:t>
      </w:r>
      <w:r>
        <w:rPr>
          <w:rStyle w:val="Número de página"/>
          <w:rFonts w:ascii="Arial" w:hAnsi="Arial" w:hint="default"/>
          <w:b w:val="1"/>
          <w:bCs w:val="1"/>
          <w:sz w:val="28"/>
          <w:szCs w:val="28"/>
          <w:rtl w:val="0"/>
          <w:lang w:val="pt-PT"/>
        </w:rPr>
        <w:t>çã</w:t>
      </w:r>
      <w:r>
        <w:rPr>
          <w:rStyle w:val="Número de página"/>
          <w:rFonts w:ascii="Arial" w:hAnsi="Arial"/>
          <w:b w:val="1"/>
          <w:bCs w:val="1"/>
          <w:sz w:val="28"/>
          <w:szCs w:val="28"/>
          <w:rtl w:val="0"/>
          <w:lang w:val="pt-PT"/>
        </w:rPr>
        <w:t>o em Letras</w:t>
      </w: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  <w:r>
        <w:rPr>
          <w:rStyle w:val="Número de página"/>
          <w:rFonts w:ascii="Arial" w:hAnsi="Arial"/>
          <w:b w:val="1"/>
          <w:bCs w:val="1"/>
          <w:color w:val="000000"/>
          <w:sz w:val="28"/>
          <w:szCs w:val="28"/>
          <w:u w:color="000000"/>
          <w:rtl w:val="0"/>
          <w:lang w:val="pt-PT"/>
        </w:rPr>
        <w:t>PROGRAMA DE DISCIPLI</w:t>
      </w:r>
      <w:r>
        <w:rPr>
          <w:rStyle w:val="Número de página"/>
          <w:rFonts w:ascii="Arial" w:hAnsi="Arial"/>
          <w:b w:val="1"/>
          <w:bCs w:val="1"/>
          <w:color w:val="000000"/>
          <w:sz w:val="28"/>
          <w:szCs w:val="28"/>
          <w:u w:color="000000"/>
          <w:rtl w:val="0"/>
          <w:lang w:val="pt-PT"/>
        </w:rPr>
        <w:t>NA</w:t>
      </w:r>
    </w:p>
    <w:p>
      <w:pPr>
        <w:pStyle w:val="Texto em bloco"/>
        <w:jc w:val="center"/>
        <w:rPr>
          <w:rStyle w:val="Número de págin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tbl>
      <w:tblPr>
        <w:tblW w:w="99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7"/>
        <w:gridCol w:w="2143"/>
        <w:gridCol w:w="5223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1. Semestre: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2019.1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2. Modalidade: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7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Mestrado ( X )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Doutorado ( X )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3 Identifica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çã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o da Disciplina: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Nome:</w:t>
            </w:r>
          </w:p>
        </w:tc>
        <w:tc>
          <w:tcPr>
            <w:tcW w:type="dxa" w:w="73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Teoria do Texto Teatral</w:t>
            </w:r>
          </w:p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Subt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í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tulo (se houver):</w:t>
            </w:r>
          </w:p>
        </w:tc>
        <w:tc>
          <w:tcPr>
            <w:tcW w:type="dxa" w:w="73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Do teatro grego ao teatro do absurdo - deus, homem e a crise do sujeito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C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ó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digo:</w:t>
            </w:r>
          </w:p>
        </w:tc>
        <w:tc>
          <w:tcPr>
            <w:tcW w:type="dxa" w:w="73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 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HGP7411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ria:</w:t>
            </w:r>
          </w:p>
        </w:tc>
        <w:tc>
          <w:tcPr>
            <w:tcW w:type="dxa" w:w="73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48h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N</w:t>
            </w:r>
            <w:r>
              <w:rPr>
                <w:rStyle w:val="Número de página"/>
                <w:rFonts w:ascii="Arial" w:hAnsi="Arial"/>
                <w:vertAlign w:val="superscript"/>
                <w:rtl w:val="0"/>
                <w:lang w:val="pt-PT"/>
              </w:rPr>
              <w:t>0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 de Cr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é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ditos:</w:t>
            </w:r>
          </w:p>
        </w:tc>
        <w:tc>
          <w:tcPr>
            <w:tcW w:type="dxa" w:w="73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4. Professor(a) Respons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vel: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Martine Suzanne Kunz e Orlando Luiz de Ara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jo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5. Data/Hor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rio: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36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Ter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ç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 xml:space="preserve">a-Feira, de 9 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à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 xml:space="preserve">s 13h, iniciando no dia 19/02/2019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6. Ementa:</w:t>
            </w:r>
          </w:p>
        </w:tc>
      </w:tr>
      <w:tr>
        <w:tblPrEx>
          <w:shd w:val="clear" w:color="auto" w:fill="ced7e7"/>
        </w:tblPrEx>
        <w:trPr>
          <w:trHeight w:val="364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360" w:firstLine="0"/>
              <w:jc w:val="both"/>
            </w:pPr>
            <w:r>
              <w:rPr>
                <w:rFonts w:ascii="Arial" w:hAnsi="Arial"/>
                <w:rtl w:val="0"/>
                <w:lang w:val="pt-PT"/>
              </w:rPr>
              <w:t>Disciplina de cara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ter introduto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rio que estuda o texto dramatu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rgico em suas diversas formas de manifestac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a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it-IT"/>
              </w:rPr>
              <w:t>o e construc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a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pt-PT"/>
              </w:rPr>
              <w:t>o, os seus elementos estruturais historicamente constitutivos e a sua relac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a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pt-PT"/>
              </w:rPr>
              <w:t>o com a poe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it-IT"/>
              </w:rPr>
              <w:t xml:space="preserve">tica e </w:t>
            </w:r>
            <w:r>
              <w:rPr>
                <w:rFonts w:ascii="Arial" w:hAnsi="Arial"/>
                <w:rtl w:val="0"/>
                <w:lang w:val="pt-PT"/>
              </w:rPr>
              <w:t xml:space="preserve">com os </w:t>
            </w:r>
            <w:r>
              <w:rPr>
                <w:rFonts w:ascii="Arial" w:hAnsi="Arial"/>
                <w:rtl w:val="0"/>
              </w:rPr>
              <w:t>ge</w:t>
            </w:r>
            <w:r>
              <w:rPr>
                <w:rFonts w:ascii="Arial" w:hAnsi="Arial" w:hint="default"/>
                <w:rtl w:val="0"/>
              </w:rPr>
              <w:t>̂</w:t>
            </w:r>
            <w:r>
              <w:rPr>
                <w:rFonts w:ascii="Arial" w:hAnsi="Arial"/>
                <w:rtl w:val="0"/>
                <w:lang w:val="pt-PT"/>
              </w:rPr>
              <w:t>neros, com a narratologia, levando em considerac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a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</w:rPr>
              <w:t>o na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pt-PT"/>
              </w:rPr>
              <w:t>o apenas a historicidade de noc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o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pt-PT"/>
              </w:rPr>
              <w:t>es como a de drama, mas tambe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m de diferentes concepc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</w:rPr>
              <w:t>o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pt-PT"/>
              </w:rPr>
              <w:t>es de texto teatral. A abordagem de obras escolhidas devera</w:t>
            </w:r>
            <w:r>
              <w:rPr>
                <w:rFonts w:ascii="Arial" w:hAnsi="Arial" w:hint="default"/>
                <w:rtl w:val="0"/>
              </w:rPr>
              <w:t xml:space="preserve">́ </w:t>
            </w:r>
            <w:r>
              <w:rPr>
                <w:rFonts w:ascii="Arial" w:hAnsi="Arial"/>
                <w:rtl w:val="0"/>
                <w:lang w:val="pt-PT"/>
              </w:rPr>
              <w:t>incluir a ana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 xml:space="preserve">lise de sua materialidade textual </w:t>
            </w:r>
            <w:r>
              <w:rPr>
                <w:rFonts w:ascii="Arial" w:hAnsi="Arial"/>
                <w:rtl w:val="0"/>
                <w:lang w:val="pt-PT"/>
              </w:rPr>
              <w:t xml:space="preserve">sem descurar das </w:t>
            </w:r>
            <w:r>
              <w:rPr>
                <w:rFonts w:ascii="Arial" w:hAnsi="Arial"/>
                <w:rtl w:val="0"/>
                <w:lang w:val="pt-PT"/>
              </w:rPr>
              <w:t>suas dimenso</w:t>
            </w:r>
            <w:r>
              <w:rPr>
                <w:rFonts w:ascii="Arial" w:hAnsi="Arial" w:hint="default"/>
                <w:rtl w:val="0"/>
              </w:rPr>
              <w:t>̃</w:t>
            </w:r>
            <w:r>
              <w:rPr>
                <w:rFonts w:ascii="Arial" w:hAnsi="Arial"/>
                <w:rtl w:val="0"/>
                <w:lang w:val="fr-FR"/>
              </w:rPr>
              <w:t>es image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it-IT"/>
              </w:rPr>
              <w:t xml:space="preserve">tica, </w:t>
            </w:r>
            <w:r>
              <w:rPr>
                <w:rFonts w:ascii="Arial" w:hAnsi="Arial"/>
                <w:rtl w:val="0"/>
                <w:lang w:val="pt-PT"/>
              </w:rPr>
              <w:t>pol</w:t>
            </w:r>
            <w:r>
              <w:rPr>
                <w:rFonts w:ascii="Arial" w:hAnsi="Arial" w:hint="default"/>
                <w:rtl w:val="0"/>
                <w:lang w:val="pt-PT"/>
              </w:rPr>
              <w:t>í</w:t>
            </w:r>
            <w:r>
              <w:rPr>
                <w:rFonts w:ascii="Arial" w:hAnsi="Arial"/>
                <w:rtl w:val="0"/>
                <w:lang w:val="pt-PT"/>
              </w:rPr>
              <w:t xml:space="preserve">tica etc. </w:t>
            </w:r>
            <w:r>
              <w:rPr>
                <w:rFonts w:ascii="Arial" w:hAnsi="Arial"/>
                <w:rtl w:val="0"/>
              </w:rPr>
              <w:t>Ale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</w:rPr>
              <w:t xml:space="preserve">m </w:t>
            </w:r>
            <w:r>
              <w:rPr>
                <w:rFonts w:ascii="Arial" w:hAnsi="Arial"/>
                <w:rtl w:val="0"/>
                <w:lang w:val="pt-PT"/>
              </w:rPr>
              <w:t>disso, ser</w:t>
            </w:r>
            <w:r>
              <w:rPr>
                <w:rFonts w:ascii="Arial" w:hAnsi="Arial" w:hint="default"/>
                <w:rtl w:val="0"/>
                <w:lang w:val="pt-PT"/>
              </w:rPr>
              <w:t>ã</w:t>
            </w:r>
            <w:r>
              <w:rPr>
                <w:rFonts w:ascii="Arial" w:hAnsi="Arial"/>
                <w:rtl w:val="0"/>
                <w:lang w:val="pt-PT"/>
              </w:rPr>
              <w:t xml:space="preserve">o estudadas as categorias de </w:t>
            </w:r>
            <w:r>
              <w:rPr>
                <w:rFonts w:ascii="Arial" w:hAnsi="Arial"/>
                <w:rtl w:val="0"/>
                <w:lang w:val="es-ES_tradnl"/>
              </w:rPr>
              <w:t>tempo, espac</w:t>
            </w:r>
            <w:r>
              <w:rPr>
                <w:rFonts w:ascii="Arial" w:hAnsi="Arial" w:hint="default"/>
                <w:rtl w:val="0"/>
              </w:rPr>
              <w:t>̧</w:t>
            </w:r>
            <w:r>
              <w:rPr>
                <w:rFonts w:ascii="Arial" w:hAnsi="Arial"/>
                <w:rtl w:val="0"/>
                <w:lang w:val="pt-PT"/>
              </w:rPr>
              <w:t>o, ponto de vista, didasca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lia, personagem, dia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 xml:space="preserve">logo, </w:t>
            </w:r>
            <w:r>
              <w:rPr>
                <w:rFonts w:ascii="Arial" w:hAnsi="Arial"/>
                <w:rtl w:val="0"/>
                <w:lang w:val="pt-PT"/>
              </w:rPr>
              <w:t xml:space="preserve">canto coral, </w:t>
            </w:r>
            <w:r>
              <w:rPr>
                <w:rFonts w:ascii="Arial" w:hAnsi="Arial"/>
                <w:rtl w:val="0"/>
                <w:lang w:val="it-IT"/>
              </w:rPr>
              <w:t>mono</w:t>
            </w:r>
            <w:r>
              <w:rPr>
                <w:rFonts w:ascii="Arial" w:hAnsi="Arial" w:hint="default"/>
                <w:rtl w:val="0"/>
              </w:rPr>
              <w:t>́</w:t>
            </w:r>
            <w:r>
              <w:rPr>
                <w:rFonts w:ascii="Arial" w:hAnsi="Arial"/>
                <w:rtl w:val="0"/>
                <w:lang w:val="pt-PT"/>
              </w:rPr>
              <w:t>logo</w:t>
            </w:r>
            <w:r>
              <w:rPr>
                <w:rFonts w:ascii="Arial" w:hAnsi="Arial"/>
                <w:rtl w:val="0"/>
                <w:lang w:val="pt-PT"/>
              </w:rPr>
              <w:t xml:space="preserve"> e mito</w:t>
            </w:r>
            <w:r>
              <w:rPr>
                <w:rFonts w:ascii="Arial" w:hAnsi="Arial"/>
                <w:rtl w:val="0"/>
              </w:rPr>
              <w:t>.</w:t>
            </w:r>
            <w:r>
              <w:rPr>
                <w:rFonts w:ascii="Arial" w:hAnsi="Arial"/>
                <w:rtl w:val="0"/>
                <w:lang w:val="pt-PT"/>
              </w:rPr>
              <w:t xml:space="preserve"> Na primeira parte do curso, ser</w:t>
            </w:r>
            <w:r>
              <w:rPr>
                <w:rFonts w:ascii="Arial" w:hAnsi="Arial" w:hint="default"/>
                <w:rtl w:val="0"/>
                <w:lang w:val="pt-PT"/>
              </w:rPr>
              <w:t xml:space="preserve">á </w:t>
            </w:r>
            <w:r>
              <w:rPr>
                <w:rFonts w:ascii="Arial" w:hAnsi="Arial"/>
                <w:rtl w:val="0"/>
                <w:lang w:val="pt-PT"/>
              </w:rPr>
              <w:t>abordado o teatro antigo, especialmente, o teatro grego, com an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>lise de trag</w:t>
            </w:r>
            <w:r>
              <w:rPr>
                <w:rFonts w:ascii="Arial" w:hAnsi="Arial" w:hint="default"/>
                <w:rtl w:val="0"/>
                <w:lang w:val="pt-PT"/>
              </w:rPr>
              <w:t>é</w:t>
            </w:r>
            <w:r>
              <w:rPr>
                <w:rFonts w:ascii="Arial" w:hAnsi="Arial"/>
                <w:rtl w:val="0"/>
                <w:lang w:val="pt-PT"/>
              </w:rPr>
              <w:t>dia, visando a discutir temas e conceitos relevantes para o teatro. Na segunda parte, ser</w:t>
            </w:r>
            <w:r>
              <w:rPr>
                <w:rFonts w:ascii="Arial" w:hAnsi="Arial" w:hint="default"/>
                <w:rtl w:val="0"/>
                <w:lang w:val="pt-PT"/>
              </w:rPr>
              <w:t xml:space="preserve">á </w:t>
            </w:r>
            <w:r>
              <w:rPr>
                <w:rFonts w:ascii="Arial" w:hAnsi="Arial"/>
                <w:rtl w:val="0"/>
                <w:lang w:val="pt-PT"/>
              </w:rPr>
              <w:t>abordado o teatro do absurdo e as tend</w:t>
            </w:r>
            <w:r>
              <w:rPr>
                <w:rFonts w:ascii="Arial" w:hAnsi="Arial" w:hint="default"/>
                <w:rtl w:val="0"/>
                <w:lang w:val="pt-PT"/>
              </w:rPr>
              <w:t>ê</w:t>
            </w:r>
            <w:r>
              <w:rPr>
                <w:rFonts w:ascii="Arial" w:hAnsi="Arial"/>
                <w:rtl w:val="0"/>
                <w:lang w:val="pt-PT"/>
              </w:rPr>
              <w:t>ncias do teatro franc</w:t>
            </w:r>
            <w:r>
              <w:rPr>
                <w:rFonts w:ascii="Arial" w:hAnsi="Arial" w:hint="default"/>
                <w:rtl w:val="0"/>
                <w:lang w:val="pt-PT"/>
              </w:rPr>
              <w:t>ê</w:t>
            </w:r>
            <w:r>
              <w:rPr>
                <w:rFonts w:ascii="Arial" w:hAnsi="Arial"/>
                <w:rtl w:val="0"/>
                <w:lang w:val="pt-PT"/>
              </w:rPr>
              <w:t>s no s</w:t>
            </w:r>
            <w:r>
              <w:rPr>
                <w:rFonts w:ascii="Arial" w:hAnsi="Arial" w:hint="default"/>
                <w:rtl w:val="0"/>
                <w:lang w:val="pt-PT"/>
              </w:rPr>
              <w:t>é</w:t>
            </w:r>
            <w:r>
              <w:rPr>
                <w:rFonts w:ascii="Arial" w:hAnsi="Arial"/>
                <w:rtl w:val="0"/>
                <w:lang w:val="pt-PT"/>
              </w:rPr>
              <w:t>culo XX.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 xml:space="preserve">     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7. Forma de avalia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çã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9993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pt-PT"/>
              </w:rPr>
              <w:t>A avalia</w:t>
            </w:r>
            <w:r>
              <w:rPr>
                <w:rFonts w:ascii="Arial" w:hAnsi="Arial" w:hint="default"/>
                <w:rtl w:val="0"/>
                <w:lang w:val="pt-PT"/>
              </w:rPr>
              <w:t>çã</w:t>
            </w:r>
            <w:r>
              <w:rPr>
                <w:rFonts w:ascii="Arial" w:hAnsi="Arial"/>
                <w:rtl w:val="0"/>
                <w:lang w:val="pt-PT"/>
              </w:rPr>
              <w:t>o ser</w:t>
            </w:r>
            <w:r>
              <w:rPr>
                <w:rFonts w:ascii="Arial" w:hAnsi="Arial" w:hint="default"/>
                <w:rtl w:val="0"/>
                <w:lang w:val="pt-PT"/>
              </w:rPr>
              <w:t xml:space="preserve">á </w:t>
            </w:r>
            <w:r>
              <w:rPr>
                <w:rFonts w:ascii="Arial" w:hAnsi="Arial"/>
                <w:rtl w:val="0"/>
                <w:lang w:val="pt-PT"/>
              </w:rPr>
              <w:t>assim distribu</w:t>
            </w:r>
            <w:r>
              <w:rPr>
                <w:rFonts w:ascii="Arial" w:hAnsi="Arial" w:hint="default"/>
                <w:rtl w:val="0"/>
                <w:lang w:val="pt-PT"/>
              </w:rPr>
              <w:t>í</w:t>
            </w:r>
            <w:r>
              <w:rPr>
                <w:rFonts w:ascii="Arial" w:hAnsi="Arial"/>
                <w:rtl w:val="0"/>
                <w:lang w:val="pt-PT"/>
              </w:rPr>
              <w:t>da:</w:t>
            </w:r>
          </w:p>
          <w:p>
            <w:pPr>
              <w:pStyle w:val="Normal.0"/>
              <w:numPr>
                <w:ilvl w:val="0"/>
                <w:numId w:val="1"/>
              </w:numPr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rtl w:val="0"/>
                <w:lang w:val="pt-PT"/>
              </w:rPr>
              <w:t>Participa</w:t>
            </w:r>
            <w:r>
              <w:rPr>
                <w:rFonts w:ascii="Arial" w:hAnsi="Arial" w:hint="default"/>
                <w:rtl w:val="0"/>
                <w:lang w:val="pt-PT"/>
              </w:rPr>
              <w:t>çã</w:t>
            </w:r>
            <w:r>
              <w:rPr>
                <w:rFonts w:ascii="Arial" w:hAnsi="Arial"/>
                <w:rtl w:val="0"/>
                <w:lang w:val="pt-PT"/>
              </w:rPr>
              <w:t>o do aluno em sala de aula (15%);</w:t>
            </w:r>
          </w:p>
          <w:p>
            <w:pPr>
              <w:pStyle w:val="Normal.0"/>
              <w:numPr>
                <w:ilvl w:val="0"/>
                <w:numId w:val="1"/>
              </w:numPr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rtl w:val="0"/>
                <w:lang w:val="pt-PT"/>
              </w:rPr>
              <w:t>Semin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>rio de pesquisa (25%);</w:t>
            </w:r>
          </w:p>
          <w:p>
            <w:pPr>
              <w:pStyle w:val="Normal.0"/>
              <w:numPr>
                <w:ilvl w:val="0"/>
                <w:numId w:val="1"/>
              </w:numPr>
              <w:jc w:val="both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rtl w:val="0"/>
                <w:lang w:val="pt-PT"/>
              </w:rPr>
              <w:t>Trabalho monogr</w:t>
            </w:r>
            <w:r>
              <w:rPr>
                <w:rFonts w:ascii="Arial" w:hAnsi="Arial" w:hint="default"/>
                <w:rtl w:val="0"/>
                <w:lang w:val="pt-PT"/>
              </w:rPr>
              <w:t>á</w:t>
            </w:r>
            <w:r>
              <w:rPr>
                <w:rFonts w:ascii="Arial" w:hAnsi="Arial"/>
                <w:rtl w:val="0"/>
                <w:lang w:val="pt-PT"/>
              </w:rPr>
              <w:t xml:space="preserve">fico (60%).      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999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8. Bibliografia</w:t>
            </w:r>
          </w:p>
        </w:tc>
      </w:tr>
      <w:tr>
        <w:tblPrEx>
          <w:shd w:val="clear" w:color="auto" w:fill="ced7e7"/>
        </w:tblPrEx>
        <w:trPr>
          <w:trHeight w:val="14651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I - O teatro e a cidade: trag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dia e o direito da cidade em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squilo,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focles e Eur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pides.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Textos de refer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ê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ncia: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squilo (525/524 a/C. - 456/455 a.C.):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Os Persas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Junito Brand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o.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Paulo: Mameluco, 2013. Edi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bil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ngue.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Eur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pides (480 a.C.- 406 a.C.):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Troianas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Christian Werner.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o Paulo: Martins Fontes, 2004.  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Jean-Pierre Vernant e Pierre Vidal-Naquet. Mito e trag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dia na Gr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cia antiga.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Anna Lia de Almeida Prado; Filomena Yoshi Hirata e Maria da Concei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Cavalcante.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o Paulo: Perspectiva, 1999. 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focles (497/496 a.C.-406/405 a.C.):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Electra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Orlando Luiz de Ara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ú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jo. Fortaleza: Subst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â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nsia, 2014. Edi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bil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ngue.  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II - Deus, homem e mundo: 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ἁμαρτία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 (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hamart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pt-PT"/>
              </w:rPr>
              <w:t>í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) tr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gica no teatro grego.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focles (497/496 a.C.-406/405 a.C.): 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pt-PT"/>
              </w:rPr>
              <w:t>É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dipo Rei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Geir Campos.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Paulo: Cooperativa Paulista de Teatro, 1983.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Suzanne Said.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La faute tragique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. Paris: Francois Maspero, 1978.   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II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 - O teatro dito do absurdo no 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s-guerra franc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s: massacre das conven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çõ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es teatrais e uso do esc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rnio, a crise da linguagem e do sujeito, tempo e espa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desregrados.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Style w:val="Número de págin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Textos de refer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ncia: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Style w:val="Número de págin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Eug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ne Ionesco (1912-1994):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La cantatrice chauve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. Paris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: Gallimard, 1954.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A cantora careca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 (PDF)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Style w:val="Número de págin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Samuel Beckett (1906-1989):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Fin de partie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. Paris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: Editions de Minuit, 1957.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Fim de partida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 (PDF)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Martin Esslin: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Th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éâ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tre de l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absurde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 Paris: Editi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ons Buchet/Chastel, 1977 (para a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o francesa)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de-DE"/>
              </w:rPr>
              <w:t>Martin Esslin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O teatro do absurdo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de-DE"/>
              </w:rPr>
              <w:t xml:space="preserve"> (PDF)</w:t>
            </w:r>
          </w:p>
          <w:p>
            <w:pPr>
              <w:pStyle w:val="Normal.0"/>
              <w:suppressAutoHyphens w:val="0"/>
              <w:spacing w:after="160" w:line="360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Qorpo-Santo (1829-1883):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it-IT"/>
              </w:rPr>
              <w:t>Teatro completo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Paulo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: Editora Iluminuras, 2001: teatro do absurdo de Ionesco e Beckett e/ou surrealismo de Breton?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V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Algumas tend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ncias do teatro franc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s do fim do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culo XX: fim da narrativa exemplar, arte do fragmento, escrita dram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á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tica 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scont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nua, palavra em 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no aqui e agora, a era da incerteza.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Textos de refer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ncia: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Jean-Luc Lagarce (1957-1995):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Juste la fin du monde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Apenas o fim do mundo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 de Giovana Soar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Paulo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 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: Alliance Fran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aise/Consulat 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ral de France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Paulo/Presses Officielles de 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tat de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Paulo, 2006 (Collection Palco sur sc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ne)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edi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 bil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í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ngue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Fonts w:ascii="Calibri" w:cs="Calibri" w:hAnsi="Calibri" w:eastAsia="Calibri"/>
                <w:sz w:val="22"/>
                <w:szCs w:val="22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Hans-Thies Lehmann (1944):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O teatro p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pt-PT"/>
              </w:rPr>
              <w:t>ó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s-dram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pt-PT"/>
              </w:rPr>
              <w:t>á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pt-PT"/>
              </w:rPr>
              <w:t>tico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. Tradu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çã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 de Pedro Susskind -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ã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 xml:space="preserve">o Paulo: Cosac e Naif, 2008.   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Style w:val="Número de págin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Michel Vinaver (1927)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: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La demande d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emploi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A procura de emprego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. Tradu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çã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de Jean-Claude Bernardet, Rubens Rewald, colabora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çã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de Heloisa Jahn - 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Paulo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: Alliance Fran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ç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aise/Consulat G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n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ral de France 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Paulo/Presses Officielles de l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’É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tat de 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Paulo, 2008 (Collection Palco sur sc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ne) 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– 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edi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çã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o bil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í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ngue.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  <w:rPr>
                <w:rStyle w:val="Número de págin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Jean-Pierre Ryngaert.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Lire le th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éâ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tre contemporain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. Paris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: Dunod, 1993.</w:t>
            </w:r>
          </w:p>
          <w:p>
            <w:pPr>
              <w:pStyle w:val="Normal.0"/>
              <w:suppressAutoHyphens w:val="0"/>
              <w:spacing w:after="160" w:line="259" w:lineRule="auto"/>
              <w:jc w:val="both"/>
            </w:pP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 xml:space="preserve">Jean-Pierre Ryngaert.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Introduction 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analyse du th</w:t>
            </w:r>
            <w:r>
              <w:rPr>
                <w:rStyle w:val="Número de página"/>
                <w:rFonts w:ascii="Calibri" w:cs="Calibri" w:hAnsi="Calibri" w:eastAsia="Calibri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éâ</w:t>
            </w:r>
            <w:r>
              <w:rPr>
                <w:rStyle w:val="Número de página"/>
                <w:rFonts w:ascii="Calibri" w:cs="Calibri" w:hAnsi="Calibri" w:eastAsia="Calibri"/>
                <w:i w:val="1"/>
                <w:iCs w:val="1"/>
                <w:sz w:val="22"/>
                <w:szCs w:val="22"/>
                <w:rtl w:val="0"/>
                <w:lang w:val="fr-FR"/>
              </w:rPr>
              <w:t>tre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. Paris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Número de página"/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: Dunod, 1996.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rStyle w:val="Número de página"/>
                <w:rFonts w:ascii="Arial" w:hAnsi="Arial"/>
                <w:rtl w:val="0"/>
                <w:lang w:val="pt-PT"/>
              </w:rPr>
              <w:t>9. Observa</w:t>
            </w:r>
            <w:r>
              <w:rPr>
                <w:rStyle w:val="Número de página"/>
                <w:rFonts w:ascii="Arial" w:hAnsi="Arial" w:hint="default"/>
                <w:rtl w:val="0"/>
                <w:lang w:val="pt-PT"/>
              </w:rPr>
              <w:t>çõ</w:t>
            </w:r>
            <w:r>
              <w:rPr>
                <w:rStyle w:val="Número de página"/>
                <w:rFonts w:ascii="Arial" w:hAnsi="Arial"/>
                <w:rtl w:val="0"/>
                <w:lang w:val="pt-PT"/>
              </w:rPr>
              <w:t>es: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99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 esta bibliografia ser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ã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 acrescidos novos t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tulos no decorrer da disciplina. </w:t>
            </w:r>
          </w:p>
        </w:tc>
      </w:tr>
    </w:tbl>
    <w:p>
      <w:pPr>
        <w:pStyle w:val="Texto em bloco"/>
        <w:jc w:val="center"/>
      </w:pPr>
      <w:r>
        <w:rPr>
          <w:rStyle w:val="Número de página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719" w:right="1276" w:bottom="360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Rodapé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exto em bloco">
    <w:name w:val="Texto em bloco"/>
    <w:next w:val="Texto em blo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Número de página">
    <w:name w:val="Número de págin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